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A20A" w14:textId="5FB40F6D" w:rsidR="00B33A92" w:rsidRPr="00B33A92" w:rsidRDefault="00B33A92" w:rsidP="00B33A92">
      <w:pPr>
        <w:spacing w:before="100" w:beforeAutospacing="1" w:after="100" w:afterAutospacing="1" w:line="240" w:lineRule="auto"/>
        <w:jc w:val="center"/>
        <w:rPr>
          <w:rFonts w:ascii="Marianne" w:eastAsia="Times New Roman" w:hAnsi="Marianne" w:cs="Times New Roman"/>
          <w:b/>
          <w:bCs/>
          <w:color w:val="5B9BD5" w:themeColor="accent5"/>
          <w:sz w:val="44"/>
          <w:szCs w:val="44"/>
          <w:u w:val="single"/>
          <w:lang w:eastAsia="fr-FR"/>
        </w:rPr>
      </w:pPr>
      <w:r w:rsidRPr="00B33A92">
        <w:rPr>
          <w:rFonts w:ascii="Marianne" w:eastAsia="Times New Roman" w:hAnsi="Marianne" w:cs="Times New Roman"/>
          <w:b/>
          <w:bCs/>
          <w:color w:val="5B9BD5" w:themeColor="accent5"/>
          <w:sz w:val="44"/>
          <w:szCs w:val="44"/>
          <w:u w:val="single"/>
          <w:lang w:eastAsia="fr-FR"/>
        </w:rPr>
        <w:t>L’ONACVG</w:t>
      </w:r>
    </w:p>
    <w:p w14:paraId="04540B98" w14:textId="00D12111" w:rsidR="004347C6" w:rsidRPr="00B33A92" w:rsidRDefault="004347C6" w:rsidP="00B33A92">
      <w:pPr>
        <w:pStyle w:val="Paragraphedeliste"/>
        <w:numPr>
          <w:ilvl w:val="0"/>
          <w:numId w:val="9"/>
        </w:numPr>
        <w:spacing w:before="100" w:beforeAutospacing="1" w:after="100" w:afterAutospacing="1" w:line="240" w:lineRule="auto"/>
        <w:jc w:val="both"/>
        <w:rPr>
          <w:rFonts w:ascii="Marianne" w:eastAsia="Times New Roman" w:hAnsi="Marianne" w:cs="Times New Roman"/>
          <w:b/>
          <w:bCs/>
          <w:color w:val="5B9BD5" w:themeColor="accent5"/>
          <w:sz w:val="36"/>
          <w:szCs w:val="36"/>
          <w:lang w:eastAsia="fr-FR"/>
        </w:rPr>
      </w:pPr>
      <w:r w:rsidRPr="00B33A92">
        <w:rPr>
          <w:rFonts w:ascii="Marianne" w:eastAsia="Times New Roman" w:hAnsi="Marianne" w:cs="Times New Roman"/>
          <w:b/>
          <w:bCs/>
          <w:color w:val="5B9BD5" w:themeColor="accent5"/>
          <w:sz w:val="36"/>
          <w:szCs w:val="36"/>
          <w:u w:val="single"/>
          <w:lang w:eastAsia="fr-FR"/>
        </w:rPr>
        <w:t xml:space="preserve">Les outils pédagogiques </w:t>
      </w:r>
    </w:p>
    <w:p w14:paraId="274D847C" w14:textId="18F232A5" w:rsidR="004347C6" w:rsidRPr="00B33A92" w:rsidRDefault="004347C6" w:rsidP="00B33A92">
      <w:pPr>
        <w:spacing w:before="100" w:beforeAutospacing="1" w:after="100" w:afterAutospacing="1" w:line="240" w:lineRule="auto"/>
        <w:rPr>
          <w:rFonts w:ascii="Marianne" w:hAnsi="Marianne" w:cs="Times New Roman"/>
          <w:b/>
          <w:color w:val="5B9BD5" w:themeColor="accent5"/>
          <w:sz w:val="24"/>
          <w:szCs w:val="24"/>
          <w:u w:val="single"/>
        </w:rPr>
      </w:pPr>
      <w:r w:rsidRPr="00B33A92">
        <w:rPr>
          <w:rFonts w:ascii="Marianne" w:hAnsi="Marianne" w:cs="Times New Roman"/>
          <w:b/>
          <w:color w:val="5B9BD5" w:themeColor="accent5"/>
          <w:sz w:val="24"/>
          <w:szCs w:val="24"/>
          <w:u w:val="single"/>
        </w:rPr>
        <w:t>LES EXPOSITIONS</w:t>
      </w:r>
    </w:p>
    <w:p w14:paraId="63E060B6" w14:textId="50F54D1C" w:rsidR="004347C6" w:rsidRPr="00B33A92" w:rsidRDefault="004347C6" w:rsidP="0013639A">
      <w:pPr>
        <w:spacing w:before="100" w:beforeAutospacing="1" w:after="100" w:afterAutospacing="1" w:line="240" w:lineRule="auto"/>
        <w:ind w:left="720"/>
        <w:rPr>
          <w:rFonts w:ascii="Marianne" w:eastAsia="Times New Roman" w:hAnsi="Marianne" w:cs="Times New Roman"/>
          <w:sz w:val="24"/>
          <w:szCs w:val="24"/>
          <w:lang w:eastAsia="fr-FR"/>
        </w:rPr>
      </w:pPr>
      <w:r w:rsidRPr="00B33A92">
        <w:rPr>
          <w:rFonts w:ascii="Marianne" w:eastAsia="Times New Roman" w:hAnsi="Marianne" w:cs="Times New Roman"/>
          <w:iCs/>
          <w:sz w:val="24"/>
          <w:szCs w:val="24"/>
          <w:lang w:eastAsia="fr-FR"/>
        </w:rPr>
        <w:t>La Grande Guerre</w:t>
      </w:r>
      <w:r w:rsidRPr="00B33A92">
        <w:rPr>
          <w:rFonts w:ascii="Marianne" w:eastAsia="Times New Roman" w:hAnsi="Marianne" w:cs="Times New Roman"/>
          <w:sz w:val="24"/>
          <w:szCs w:val="24"/>
          <w:lang w:eastAsia="fr-FR"/>
        </w:rPr>
        <w:t xml:space="preserve"> (2006) </w:t>
      </w:r>
      <w:r w:rsidR="0013639A" w:rsidRPr="00B33A92">
        <w:rPr>
          <w:rFonts w:ascii="Marianne" w:eastAsia="Times New Roman" w:hAnsi="Marianne" w:cs="Times New Roman"/>
          <w:sz w:val="24"/>
          <w:szCs w:val="24"/>
          <w:lang w:eastAsia="fr-FR"/>
        </w:rPr>
        <w:t>(2 exemplaires)</w:t>
      </w:r>
    </w:p>
    <w:p w14:paraId="536DF576" w14:textId="13E2F816" w:rsidR="009237B9" w:rsidRPr="00B33A92" w:rsidRDefault="0013639A" w:rsidP="0013639A">
      <w:pPr>
        <w:spacing w:before="100" w:beforeAutospacing="1" w:after="100" w:afterAutospacing="1" w:line="240" w:lineRule="auto"/>
        <w:ind w:left="720"/>
        <w:rPr>
          <w:rFonts w:ascii="Marianne" w:eastAsia="Times New Roman" w:hAnsi="Marianne" w:cs="Times New Roman"/>
          <w:sz w:val="24"/>
          <w:szCs w:val="24"/>
          <w:lang w:eastAsia="fr-FR"/>
        </w:rPr>
      </w:pPr>
      <w:r w:rsidRPr="00B33A92">
        <w:rPr>
          <w:rFonts w:ascii="Marianne" w:eastAsia="Times New Roman" w:hAnsi="Marianne" w:cs="Times New Roman"/>
          <w:iCs/>
          <w:sz w:val="24"/>
          <w:szCs w:val="24"/>
          <w:lang w:eastAsia="fr-FR"/>
        </w:rPr>
        <w:t xml:space="preserve"> </w:t>
      </w:r>
      <w:r w:rsidR="004347C6" w:rsidRPr="00B33A92">
        <w:rPr>
          <w:rFonts w:ascii="Marianne" w:eastAsia="Times New Roman" w:hAnsi="Marianne" w:cs="Times New Roman"/>
          <w:iCs/>
          <w:sz w:val="24"/>
          <w:szCs w:val="24"/>
          <w:lang w:eastAsia="fr-FR"/>
        </w:rPr>
        <w:t>Les As de la Première Guerre mondiale</w:t>
      </w:r>
      <w:r w:rsidR="004347C6" w:rsidRPr="00B33A92">
        <w:rPr>
          <w:rFonts w:ascii="Marianne" w:eastAsia="Times New Roman" w:hAnsi="Marianne" w:cs="Times New Roman"/>
          <w:sz w:val="24"/>
          <w:szCs w:val="24"/>
          <w:lang w:eastAsia="fr-FR"/>
        </w:rPr>
        <w:t xml:space="preserve"> (2009) </w:t>
      </w:r>
      <w:r w:rsidRPr="00B33A92">
        <w:rPr>
          <w:rFonts w:ascii="Marianne" w:eastAsia="Times New Roman" w:hAnsi="Marianne" w:cs="Times New Roman"/>
          <w:sz w:val="24"/>
          <w:szCs w:val="24"/>
          <w:lang w:eastAsia="fr-FR"/>
        </w:rPr>
        <w:t>(1 exemplaire)</w:t>
      </w:r>
    </w:p>
    <w:p w14:paraId="12DF681B" w14:textId="141D456A" w:rsidR="004347C6" w:rsidRPr="00B33A92" w:rsidRDefault="004347C6" w:rsidP="0013639A">
      <w:pPr>
        <w:spacing w:before="100" w:beforeAutospacing="1" w:after="100" w:afterAutospacing="1" w:line="240" w:lineRule="auto"/>
        <w:ind w:left="720"/>
        <w:rPr>
          <w:rFonts w:ascii="Marianne" w:eastAsia="Times New Roman" w:hAnsi="Marianne" w:cs="Times New Roman"/>
          <w:sz w:val="24"/>
          <w:szCs w:val="24"/>
          <w:lang w:eastAsia="fr-FR"/>
        </w:rPr>
      </w:pPr>
      <w:r w:rsidRPr="00B33A92">
        <w:rPr>
          <w:rFonts w:ascii="Marianne" w:eastAsia="Times New Roman" w:hAnsi="Marianne" w:cs="Times New Roman"/>
          <w:iCs/>
          <w:sz w:val="24"/>
          <w:szCs w:val="24"/>
          <w:lang w:eastAsia="fr-FR"/>
        </w:rPr>
        <w:t>Sports, mémoire et défense</w:t>
      </w:r>
      <w:r w:rsidRPr="00B33A92">
        <w:rPr>
          <w:rFonts w:ascii="Marianne" w:eastAsia="Times New Roman" w:hAnsi="Marianne" w:cs="Times New Roman"/>
          <w:sz w:val="24"/>
          <w:szCs w:val="24"/>
          <w:lang w:eastAsia="fr-FR"/>
        </w:rPr>
        <w:t xml:space="preserve"> </w:t>
      </w:r>
      <w:r w:rsidR="0013639A" w:rsidRPr="00B33A92">
        <w:rPr>
          <w:rFonts w:ascii="Marianne" w:eastAsia="Times New Roman" w:hAnsi="Marianne" w:cs="Times New Roman"/>
          <w:sz w:val="24"/>
          <w:szCs w:val="24"/>
          <w:lang w:eastAsia="fr-FR"/>
        </w:rPr>
        <w:t>(1 exemplaire)</w:t>
      </w:r>
    </w:p>
    <w:p w14:paraId="10689718" w14:textId="016283A9" w:rsidR="009237B9" w:rsidRPr="00B33A92" w:rsidRDefault="004347C6" w:rsidP="0013639A">
      <w:pPr>
        <w:spacing w:before="100" w:beforeAutospacing="1" w:after="100" w:afterAutospacing="1" w:line="240" w:lineRule="auto"/>
        <w:ind w:left="720"/>
        <w:rPr>
          <w:rFonts w:ascii="Marianne" w:eastAsia="Times New Roman" w:hAnsi="Marianne" w:cs="Times New Roman"/>
          <w:iCs/>
          <w:sz w:val="24"/>
          <w:szCs w:val="24"/>
          <w:lang w:eastAsia="fr-FR"/>
        </w:rPr>
      </w:pPr>
      <w:r w:rsidRPr="00B33A92">
        <w:rPr>
          <w:rFonts w:ascii="Marianne" w:eastAsia="Times New Roman" w:hAnsi="Marianne" w:cs="Times New Roman"/>
          <w:iCs/>
          <w:sz w:val="24"/>
          <w:szCs w:val="24"/>
          <w:lang w:eastAsia="fr-FR"/>
        </w:rPr>
        <w:t>Le Bleuet de France.</w:t>
      </w:r>
      <w:r w:rsidR="0013639A" w:rsidRPr="00B33A92">
        <w:rPr>
          <w:rFonts w:ascii="Marianne" w:eastAsia="Times New Roman" w:hAnsi="Marianne" w:cs="Times New Roman"/>
          <w:iCs/>
          <w:sz w:val="24"/>
          <w:szCs w:val="24"/>
          <w:lang w:eastAsia="fr-FR"/>
        </w:rPr>
        <w:t xml:space="preserve"> (1 exemplaire)</w:t>
      </w:r>
    </w:p>
    <w:p w14:paraId="3B61A284" w14:textId="5CF39BCB" w:rsidR="0013639A" w:rsidRPr="00B33A92" w:rsidRDefault="0013639A" w:rsidP="0013639A">
      <w:pPr>
        <w:spacing w:before="100" w:beforeAutospacing="1" w:after="100" w:afterAutospacing="1" w:line="240" w:lineRule="auto"/>
        <w:rPr>
          <w:rFonts w:ascii="Marianne" w:eastAsia="Times New Roman" w:hAnsi="Marianne" w:cs="Times New Roman"/>
          <w:iCs/>
          <w:sz w:val="24"/>
          <w:szCs w:val="24"/>
          <w:u w:val="single"/>
          <w:lang w:eastAsia="fr-FR"/>
        </w:rPr>
      </w:pPr>
      <w:r w:rsidRPr="00B33A92">
        <w:rPr>
          <w:rFonts w:ascii="Marianne" w:eastAsia="Times New Roman" w:hAnsi="Marianne" w:cs="Times New Roman"/>
          <w:iCs/>
          <w:sz w:val="24"/>
          <w:szCs w:val="24"/>
          <w:u w:val="single"/>
          <w:lang w:eastAsia="fr-FR"/>
        </w:rPr>
        <w:t>Conditions d’emprunt</w:t>
      </w:r>
    </w:p>
    <w:p w14:paraId="2CDAFFB9" w14:textId="77777777" w:rsidR="0013639A" w:rsidRPr="00B33A92" w:rsidRDefault="0013639A" w:rsidP="0013639A">
      <w:pPr>
        <w:spacing w:before="100" w:beforeAutospacing="1" w:after="100" w:afterAutospacing="1" w:line="240" w:lineRule="auto"/>
        <w:rPr>
          <w:rFonts w:ascii="Marianne" w:eastAsia="Times New Roman" w:hAnsi="Marianne" w:cs="Times New Roman"/>
          <w:iCs/>
          <w:sz w:val="24"/>
          <w:szCs w:val="24"/>
          <w:lang w:eastAsia="fr-FR"/>
        </w:rPr>
      </w:pPr>
      <w:r w:rsidRPr="00B33A92">
        <w:rPr>
          <w:rFonts w:ascii="Marianne" w:eastAsia="Times New Roman" w:hAnsi="Marianne" w:cs="Times New Roman"/>
          <w:iCs/>
          <w:sz w:val="24"/>
          <w:szCs w:val="24"/>
          <w:lang w:eastAsia="fr-FR"/>
        </w:rPr>
        <w:t xml:space="preserve">Venir chercher l’exposition à l’ONACVG (rentre dans une voiture). </w:t>
      </w:r>
    </w:p>
    <w:p w14:paraId="08AC95A3" w14:textId="06274DA9" w:rsidR="0013639A" w:rsidRPr="00B33A92" w:rsidRDefault="0013639A" w:rsidP="0013639A">
      <w:pPr>
        <w:spacing w:before="100" w:beforeAutospacing="1" w:after="100" w:afterAutospacing="1" w:line="240" w:lineRule="auto"/>
        <w:rPr>
          <w:rFonts w:ascii="Marianne" w:eastAsia="Times New Roman" w:hAnsi="Marianne" w:cs="Times New Roman"/>
          <w:iCs/>
          <w:sz w:val="24"/>
          <w:szCs w:val="24"/>
          <w:lang w:eastAsia="fr-FR"/>
        </w:rPr>
      </w:pPr>
      <w:r w:rsidRPr="00B33A92">
        <w:rPr>
          <w:rFonts w:ascii="Marianne" w:eastAsia="Times New Roman" w:hAnsi="Marianne" w:cs="Times New Roman"/>
          <w:iCs/>
          <w:sz w:val="24"/>
          <w:szCs w:val="24"/>
          <w:lang w:eastAsia="fr-FR"/>
        </w:rPr>
        <w:t>Prévoir les grilles d’accrochage.</w:t>
      </w:r>
    </w:p>
    <w:p w14:paraId="5A5D10A3" w14:textId="291F527E" w:rsidR="0013639A" w:rsidRPr="00B33A92" w:rsidRDefault="0013639A" w:rsidP="0013639A">
      <w:pPr>
        <w:spacing w:before="100" w:beforeAutospacing="1" w:after="100" w:afterAutospacing="1" w:line="240" w:lineRule="auto"/>
        <w:rPr>
          <w:rFonts w:ascii="Marianne" w:eastAsia="Times New Roman" w:hAnsi="Marianne" w:cs="Times New Roman"/>
          <w:sz w:val="24"/>
          <w:szCs w:val="24"/>
          <w:lang w:eastAsia="fr-FR"/>
        </w:rPr>
      </w:pPr>
      <w:r w:rsidRPr="00B33A92">
        <w:rPr>
          <w:rFonts w:ascii="Marianne" w:eastAsia="Times New Roman" w:hAnsi="Marianne" w:cs="Times New Roman"/>
          <w:iCs/>
          <w:sz w:val="24"/>
          <w:szCs w:val="24"/>
          <w:lang w:eastAsia="fr-FR"/>
        </w:rPr>
        <w:t>Fiche d’emprunt avec convention</w:t>
      </w:r>
    </w:p>
    <w:p w14:paraId="39B4E7FC" w14:textId="4D08A2D7" w:rsidR="004347C6" w:rsidRPr="00B33A92" w:rsidRDefault="004347C6" w:rsidP="0013639A">
      <w:pPr>
        <w:spacing w:before="100" w:beforeAutospacing="1" w:after="100" w:afterAutospacing="1" w:line="240" w:lineRule="auto"/>
        <w:ind w:left="360"/>
        <w:jc w:val="both"/>
        <w:rPr>
          <w:rFonts w:ascii="Marianne" w:eastAsia="Times New Roman" w:hAnsi="Marianne" w:cs="Times New Roman"/>
          <w:b/>
          <w:bCs/>
          <w:color w:val="5B9BD5" w:themeColor="accent5"/>
          <w:sz w:val="36"/>
          <w:szCs w:val="36"/>
          <w:u w:val="single"/>
          <w:lang w:eastAsia="fr-FR"/>
        </w:rPr>
      </w:pPr>
      <w:r w:rsidRPr="00B33A92">
        <w:rPr>
          <w:rFonts w:ascii="Marianne" w:eastAsia="Times New Roman" w:hAnsi="Marianne" w:cs="Times New Roman"/>
          <w:b/>
          <w:bCs/>
          <w:color w:val="5B9BD5" w:themeColor="accent5"/>
          <w:sz w:val="36"/>
          <w:szCs w:val="36"/>
          <w:u w:val="single"/>
          <w:lang w:eastAsia="fr-FR"/>
        </w:rPr>
        <w:t>La mallette pédagogique « Explique-moi une cérémonie »</w:t>
      </w:r>
    </w:p>
    <w:p w14:paraId="6C3479D9" w14:textId="77777777" w:rsidR="004347C6" w:rsidRPr="00B33A92" w:rsidRDefault="004347C6" w:rsidP="004347C6">
      <w:pPr>
        <w:spacing w:before="100" w:beforeAutospacing="1" w:after="100" w:afterAutospacing="1" w:line="240" w:lineRule="auto"/>
        <w:jc w:val="both"/>
        <w:rPr>
          <w:rFonts w:ascii="Marianne" w:eastAsia="Times New Roman" w:hAnsi="Marianne" w:cs="Times New Roman"/>
          <w:sz w:val="24"/>
          <w:szCs w:val="24"/>
          <w:lang w:eastAsia="fr-FR"/>
        </w:rPr>
      </w:pPr>
      <w:r w:rsidRPr="00B33A92">
        <w:rPr>
          <w:rFonts w:ascii="Marianne" w:eastAsia="Times New Roman" w:hAnsi="Marianne" w:cs="Times New Roman"/>
          <w:sz w:val="24"/>
          <w:szCs w:val="24"/>
          <w:lang w:eastAsia="fr-FR"/>
        </w:rPr>
        <w:t>L’objectif de cette mallette est d’</w:t>
      </w:r>
      <w:r w:rsidRPr="00B33A92">
        <w:rPr>
          <w:rFonts w:ascii="Marianne" w:eastAsia="Times New Roman" w:hAnsi="Marianne" w:cs="Times New Roman"/>
          <w:bCs/>
          <w:sz w:val="24"/>
          <w:szCs w:val="24"/>
          <w:lang w:eastAsia="fr-FR"/>
        </w:rPr>
        <w:t>expliquer le sens et le principe des commémorations</w:t>
      </w:r>
      <w:r w:rsidRPr="00B33A92">
        <w:rPr>
          <w:rFonts w:ascii="Marianne" w:eastAsia="Times New Roman" w:hAnsi="Marianne" w:cs="Times New Roman"/>
          <w:sz w:val="24"/>
          <w:szCs w:val="24"/>
          <w:lang w:eastAsia="fr-FR"/>
        </w:rPr>
        <w:t xml:space="preserve">. Elle permet d’aborder des problématiques mêlant l’histoire, la mémoire, la citoyenneté, l’engagement ou encore le lien Armées-Nation. Elle permet également d’expliquer des concepts souvent abstraits pour les plus jeunes, notamment la notion d’engagement. </w:t>
      </w:r>
    </w:p>
    <w:p w14:paraId="343368BA" w14:textId="7A5A146E" w:rsidR="004347C6" w:rsidRPr="00B33A92" w:rsidRDefault="0013639A" w:rsidP="004347C6">
      <w:pPr>
        <w:spacing w:before="100" w:beforeAutospacing="1" w:after="100" w:afterAutospacing="1" w:line="240" w:lineRule="auto"/>
        <w:jc w:val="both"/>
        <w:rPr>
          <w:rFonts w:ascii="Marianne" w:eastAsia="Times New Roman" w:hAnsi="Marianne" w:cs="Times New Roman"/>
          <w:sz w:val="24"/>
          <w:szCs w:val="24"/>
          <w:lang w:eastAsia="fr-FR"/>
        </w:rPr>
      </w:pPr>
      <w:r w:rsidRPr="00B33A92">
        <w:rPr>
          <w:rFonts w:ascii="Marianne" w:eastAsia="Times New Roman" w:hAnsi="Marianne" w:cs="Times New Roman"/>
          <w:sz w:val="24"/>
          <w:szCs w:val="24"/>
          <w:lang w:eastAsia="fr-FR"/>
        </w:rPr>
        <w:t>C</w:t>
      </w:r>
      <w:r w:rsidR="004347C6" w:rsidRPr="00B33A92">
        <w:rPr>
          <w:rFonts w:ascii="Marianne" w:eastAsia="Times New Roman" w:hAnsi="Marianne" w:cs="Times New Roman"/>
          <w:sz w:val="24"/>
          <w:szCs w:val="24"/>
          <w:lang w:eastAsia="fr-FR"/>
        </w:rPr>
        <w:t>et outil s’adresse en priorité aux élèves du premier et second degré</w:t>
      </w:r>
      <w:r w:rsidRPr="00B33A92">
        <w:rPr>
          <w:rFonts w:ascii="Marianne" w:eastAsia="Times New Roman" w:hAnsi="Marianne" w:cs="Times New Roman"/>
          <w:sz w:val="24"/>
          <w:szCs w:val="24"/>
          <w:lang w:eastAsia="fr-FR"/>
        </w:rPr>
        <w:t>.</w:t>
      </w:r>
      <w:r w:rsidR="004347C6" w:rsidRPr="00B33A92">
        <w:rPr>
          <w:rFonts w:ascii="Marianne" w:eastAsia="Times New Roman" w:hAnsi="Marianne" w:cs="Times New Roman"/>
          <w:sz w:val="24"/>
          <w:szCs w:val="24"/>
          <w:lang w:eastAsia="fr-FR"/>
        </w:rPr>
        <w:t xml:space="preserve"> </w:t>
      </w:r>
    </w:p>
    <w:p w14:paraId="4CDF2EFC" w14:textId="77777777" w:rsidR="0013639A" w:rsidRPr="00B33A92" w:rsidRDefault="004347C6" w:rsidP="0013639A">
      <w:pPr>
        <w:spacing w:before="100" w:beforeAutospacing="1" w:after="100" w:afterAutospacing="1" w:line="240" w:lineRule="auto"/>
        <w:jc w:val="both"/>
        <w:rPr>
          <w:rFonts w:ascii="Marianne" w:eastAsia="Times New Roman" w:hAnsi="Marianne" w:cs="Times New Roman"/>
          <w:sz w:val="24"/>
          <w:szCs w:val="24"/>
          <w:lang w:eastAsia="fr-FR"/>
        </w:rPr>
      </w:pPr>
      <w:r w:rsidRPr="00B33A92">
        <w:rPr>
          <w:rFonts w:ascii="Marianne" w:eastAsia="Times New Roman" w:hAnsi="Marianne" w:cs="Times New Roman"/>
          <w:sz w:val="24"/>
          <w:szCs w:val="24"/>
          <w:lang w:eastAsia="fr-FR"/>
        </w:rPr>
        <w:t xml:space="preserve">La mallette est disponible dans chaque service départemental et empruntable par les établissements scolaires et associations. </w:t>
      </w:r>
    </w:p>
    <w:p w14:paraId="0B857633" w14:textId="779B17A4" w:rsidR="004347C6" w:rsidRPr="00B33A92" w:rsidRDefault="004347C6" w:rsidP="0013639A">
      <w:pPr>
        <w:spacing w:before="100" w:beforeAutospacing="1" w:after="100" w:afterAutospacing="1" w:line="240" w:lineRule="auto"/>
        <w:jc w:val="both"/>
        <w:rPr>
          <w:rFonts w:ascii="Marianne" w:eastAsia="Times New Roman" w:hAnsi="Marianne" w:cs="Times New Roman"/>
          <w:sz w:val="24"/>
          <w:szCs w:val="24"/>
          <w:lang w:eastAsia="fr-FR"/>
        </w:rPr>
      </w:pPr>
      <w:r w:rsidRPr="00B33A92">
        <w:rPr>
          <w:rFonts w:ascii="Marianne" w:eastAsia="Times New Roman" w:hAnsi="Marianne" w:cs="Times New Roman"/>
          <w:sz w:val="24"/>
          <w:szCs w:val="24"/>
          <w:lang w:eastAsia="fr-FR"/>
        </w:rPr>
        <w:t xml:space="preserve">Les </w:t>
      </w:r>
      <w:r w:rsidRPr="00B33A92">
        <w:rPr>
          <w:rFonts w:ascii="Marianne" w:eastAsia="Times New Roman" w:hAnsi="Marianne" w:cs="Times New Roman"/>
          <w:bCs/>
          <w:sz w:val="24"/>
          <w:szCs w:val="24"/>
          <w:lang w:eastAsia="fr-FR"/>
        </w:rPr>
        <w:t>ressources</w:t>
      </w:r>
      <w:r w:rsidRPr="00B33A92">
        <w:rPr>
          <w:rFonts w:ascii="Marianne" w:eastAsia="Times New Roman" w:hAnsi="Marianne" w:cs="Times New Roman"/>
          <w:sz w:val="24"/>
          <w:szCs w:val="24"/>
          <w:lang w:eastAsia="fr-FR"/>
        </w:rPr>
        <w:t xml:space="preserve"> à votre disposition sur demande à l’ONACVG </w:t>
      </w:r>
      <w:r w:rsidR="0013639A" w:rsidRPr="00B33A92">
        <w:rPr>
          <w:rFonts w:ascii="Marianne" w:eastAsia="Times New Roman" w:hAnsi="Marianne" w:cs="Times New Roman"/>
          <w:sz w:val="24"/>
          <w:szCs w:val="24"/>
          <w:lang w:eastAsia="fr-FR"/>
        </w:rPr>
        <w:t>pour créer votre mallette :</w:t>
      </w:r>
      <w:r w:rsidRPr="00B33A92">
        <w:rPr>
          <w:rFonts w:ascii="Marianne" w:eastAsia="Times New Roman" w:hAnsi="Marianne" w:cs="Times New Roman"/>
          <w:sz w:val="24"/>
          <w:szCs w:val="24"/>
          <w:lang w:eastAsia="fr-FR"/>
        </w:rPr>
        <w:t xml:space="preserve"> </w:t>
      </w:r>
    </w:p>
    <w:p w14:paraId="1A1446F1" w14:textId="77777777" w:rsidR="004347C6" w:rsidRPr="00B33A92" w:rsidRDefault="004347C6" w:rsidP="004347C6">
      <w:pPr>
        <w:numPr>
          <w:ilvl w:val="0"/>
          <w:numId w:val="5"/>
        </w:numPr>
        <w:spacing w:before="100" w:beforeAutospacing="1" w:after="100" w:afterAutospacing="1" w:line="240" w:lineRule="auto"/>
        <w:rPr>
          <w:rFonts w:ascii="Marianne" w:eastAsia="Times New Roman" w:hAnsi="Marianne" w:cs="Times New Roman"/>
          <w:sz w:val="24"/>
          <w:szCs w:val="24"/>
          <w:lang w:eastAsia="fr-FR"/>
        </w:rPr>
      </w:pPr>
      <w:r w:rsidRPr="00B33A92">
        <w:rPr>
          <w:rFonts w:ascii="Marianne" w:eastAsia="Times New Roman" w:hAnsi="Marianne" w:cs="Times New Roman"/>
          <w:sz w:val="24"/>
          <w:szCs w:val="24"/>
          <w:lang w:eastAsia="fr-FR"/>
        </w:rPr>
        <w:t xml:space="preserve">Le livret pédagogique </w:t>
      </w:r>
      <w:hyperlink r:id="rId5" w:tgtFrame="_blank" w:tooltip="metiers:mem:livret_explique-moi_une_ceremoniebd.pdf (2.2 MB)" w:history="1">
        <w:r w:rsidRPr="00B33A92">
          <w:rPr>
            <w:rFonts w:ascii="Marianne" w:eastAsia="Times New Roman" w:hAnsi="Marianne" w:cs="Times New Roman"/>
            <w:sz w:val="24"/>
            <w:szCs w:val="24"/>
            <w:lang w:eastAsia="fr-FR"/>
          </w:rPr>
          <w:t>en basse</w:t>
        </w:r>
      </w:hyperlink>
      <w:r w:rsidRPr="00B33A92">
        <w:rPr>
          <w:rFonts w:ascii="Marianne" w:eastAsia="Times New Roman" w:hAnsi="Marianne" w:cs="Times New Roman"/>
          <w:sz w:val="24"/>
          <w:szCs w:val="24"/>
          <w:lang w:eastAsia="fr-FR"/>
        </w:rPr>
        <w:t xml:space="preserve"> ou haute définition (pour impression).</w:t>
      </w:r>
    </w:p>
    <w:p w14:paraId="16F238CF" w14:textId="77777777" w:rsidR="004347C6" w:rsidRPr="00B33A92" w:rsidRDefault="004347C6" w:rsidP="004347C6">
      <w:pPr>
        <w:numPr>
          <w:ilvl w:val="0"/>
          <w:numId w:val="5"/>
        </w:numPr>
        <w:spacing w:before="100" w:beforeAutospacing="1" w:after="100" w:afterAutospacing="1" w:line="240" w:lineRule="auto"/>
        <w:rPr>
          <w:rFonts w:ascii="Marianne" w:eastAsia="Times New Roman" w:hAnsi="Marianne" w:cs="Times New Roman"/>
          <w:sz w:val="24"/>
          <w:szCs w:val="24"/>
          <w:lang w:eastAsia="fr-FR"/>
        </w:rPr>
      </w:pPr>
      <w:r w:rsidRPr="00B33A92">
        <w:rPr>
          <w:rFonts w:ascii="Marianne" w:eastAsia="Times New Roman" w:hAnsi="Marianne" w:cs="Times New Roman"/>
          <w:sz w:val="24"/>
          <w:szCs w:val="24"/>
          <w:lang w:eastAsia="fr-FR"/>
        </w:rPr>
        <w:t xml:space="preserve">Le </w:t>
      </w:r>
      <w:hyperlink r:id="rId6" w:tgtFrame="_blank" w:tooltip="metiers:mem:detail_pieces.xls (20 KB)" w:history="1">
        <w:r w:rsidRPr="00B33A92">
          <w:rPr>
            <w:rFonts w:ascii="Marianne" w:eastAsia="Times New Roman" w:hAnsi="Marianne" w:cs="Times New Roman"/>
            <w:sz w:val="24"/>
            <w:szCs w:val="24"/>
            <w:lang w:eastAsia="fr-FR"/>
          </w:rPr>
          <w:t>tableau des pièces</w:t>
        </w:r>
      </w:hyperlink>
      <w:r w:rsidRPr="00B33A92">
        <w:rPr>
          <w:rFonts w:ascii="Marianne" w:eastAsia="Times New Roman" w:hAnsi="Marianne" w:cs="Times New Roman"/>
          <w:sz w:val="24"/>
          <w:szCs w:val="24"/>
          <w:lang w:eastAsia="fr-FR"/>
        </w:rPr>
        <w:t xml:space="preserve"> (nombre et descriptif)</w:t>
      </w:r>
    </w:p>
    <w:p w14:paraId="657A2BF2" w14:textId="77777777" w:rsidR="004347C6" w:rsidRPr="00B33A92" w:rsidRDefault="004347C6" w:rsidP="004347C6">
      <w:pPr>
        <w:numPr>
          <w:ilvl w:val="0"/>
          <w:numId w:val="5"/>
        </w:numPr>
        <w:spacing w:before="100" w:beforeAutospacing="1" w:after="100" w:afterAutospacing="1" w:line="240" w:lineRule="auto"/>
        <w:rPr>
          <w:rFonts w:ascii="Marianne" w:eastAsia="Times New Roman" w:hAnsi="Marianne" w:cs="Times New Roman"/>
          <w:sz w:val="24"/>
          <w:szCs w:val="24"/>
          <w:lang w:eastAsia="fr-FR"/>
        </w:rPr>
      </w:pPr>
      <w:r w:rsidRPr="00B33A92">
        <w:rPr>
          <w:rFonts w:ascii="Marianne" w:eastAsia="Times New Roman" w:hAnsi="Marianne" w:cs="Times New Roman"/>
          <w:sz w:val="24"/>
          <w:szCs w:val="24"/>
          <w:lang w:eastAsia="fr-FR"/>
        </w:rPr>
        <w:t>La</w:t>
      </w:r>
      <w:hyperlink r:id="rId7" w:tgtFrame="_blank" w:tooltip="metiers:mem:maquette_protocole_basse_def.pdf (1 MB)" w:history="1">
        <w:r w:rsidRPr="00B33A92">
          <w:rPr>
            <w:rFonts w:ascii="Marianne" w:eastAsia="Times New Roman" w:hAnsi="Marianne" w:cs="Times New Roman"/>
            <w:sz w:val="24"/>
            <w:szCs w:val="24"/>
            <w:lang w:eastAsia="fr-FR"/>
          </w:rPr>
          <w:t xml:space="preserve"> bande dessinée</w:t>
        </w:r>
      </w:hyperlink>
      <w:r w:rsidRPr="00B33A92">
        <w:rPr>
          <w:rFonts w:ascii="Marianne" w:eastAsia="Times New Roman" w:hAnsi="Marianne" w:cs="Times New Roman"/>
          <w:sz w:val="24"/>
          <w:szCs w:val="24"/>
          <w:lang w:eastAsia="fr-FR"/>
        </w:rPr>
        <w:t xml:space="preserve"> sur le protocole d’une cérémonie </w:t>
      </w:r>
    </w:p>
    <w:p w14:paraId="1AF4DF73" w14:textId="77777777" w:rsidR="004347C6" w:rsidRPr="00B33A92" w:rsidRDefault="004347C6" w:rsidP="004347C6">
      <w:pPr>
        <w:spacing w:before="100" w:beforeAutospacing="1" w:after="100" w:afterAutospacing="1" w:line="240" w:lineRule="auto"/>
        <w:ind w:left="360"/>
        <w:rPr>
          <w:rFonts w:ascii="Marianne" w:eastAsia="Times New Roman" w:hAnsi="Marianne" w:cs="Times New Roman"/>
          <w:sz w:val="24"/>
          <w:szCs w:val="24"/>
          <w:lang w:eastAsia="fr-FR"/>
        </w:rPr>
      </w:pPr>
    </w:p>
    <w:p w14:paraId="3F2CEDE8" w14:textId="16A3AF07" w:rsidR="004347C6" w:rsidRPr="00B33A92" w:rsidRDefault="00B33A92" w:rsidP="00B33A92">
      <w:pPr>
        <w:pStyle w:val="Paragraphedeliste"/>
        <w:numPr>
          <w:ilvl w:val="0"/>
          <w:numId w:val="9"/>
        </w:numPr>
        <w:spacing w:before="100" w:beforeAutospacing="1" w:after="100" w:afterAutospacing="1" w:line="240" w:lineRule="auto"/>
        <w:outlineLvl w:val="0"/>
        <w:rPr>
          <w:rFonts w:ascii="Marianne" w:eastAsia="Times New Roman" w:hAnsi="Marianne" w:cs="Times New Roman"/>
          <w:b/>
          <w:bCs/>
          <w:color w:val="5B9BD5" w:themeColor="accent5"/>
          <w:sz w:val="36"/>
          <w:szCs w:val="36"/>
          <w:u w:val="single"/>
          <w:lang w:eastAsia="fr-FR"/>
        </w:rPr>
      </w:pPr>
      <w:r>
        <w:rPr>
          <w:rFonts w:ascii="Marianne" w:eastAsia="Times New Roman" w:hAnsi="Marianne" w:cs="Times New Roman"/>
          <w:b/>
          <w:bCs/>
          <w:color w:val="5B9BD5" w:themeColor="accent5"/>
          <w:sz w:val="36"/>
          <w:szCs w:val="36"/>
          <w:u w:val="single"/>
          <w:lang w:eastAsia="fr-FR"/>
        </w:rPr>
        <w:lastRenderedPageBreak/>
        <w:t xml:space="preserve">   </w:t>
      </w:r>
      <w:r w:rsidR="004347C6" w:rsidRPr="00B33A92">
        <w:rPr>
          <w:rFonts w:ascii="Marianne" w:eastAsia="Times New Roman" w:hAnsi="Marianne" w:cs="Times New Roman"/>
          <w:b/>
          <w:bCs/>
          <w:color w:val="5B9BD5" w:themeColor="accent5"/>
          <w:sz w:val="36"/>
          <w:szCs w:val="36"/>
          <w:u w:val="single"/>
          <w:lang w:eastAsia="fr-FR"/>
        </w:rPr>
        <w:t>Les concours jeunesse</w:t>
      </w:r>
    </w:p>
    <w:p w14:paraId="39AFC0C9" w14:textId="77777777" w:rsidR="004347C6" w:rsidRPr="00B33A92" w:rsidRDefault="004347C6" w:rsidP="004347C6">
      <w:pPr>
        <w:pStyle w:val="Paragraphedeliste"/>
        <w:numPr>
          <w:ilvl w:val="0"/>
          <w:numId w:val="8"/>
        </w:numPr>
        <w:spacing w:before="100" w:beforeAutospacing="1" w:after="100" w:afterAutospacing="1" w:line="240" w:lineRule="auto"/>
        <w:outlineLvl w:val="1"/>
        <w:rPr>
          <w:rFonts w:ascii="Marianne" w:eastAsia="Times New Roman" w:hAnsi="Marianne" w:cs="Times New Roman"/>
          <w:b/>
          <w:bCs/>
          <w:color w:val="5B9BD5" w:themeColor="accent5"/>
          <w:sz w:val="32"/>
          <w:szCs w:val="32"/>
          <w:u w:val="single"/>
          <w:lang w:eastAsia="fr-FR"/>
        </w:rPr>
      </w:pPr>
      <w:r w:rsidRPr="00B33A92">
        <w:rPr>
          <w:rFonts w:ascii="Marianne" w:eastAsia="Times New Roman" w:hAnsi="Marianne" w:cs="Times New Roman"/>
          <w:b/>
          <w:bCs/>
          <w:color w:val="5B9BD5" w:themeColor="accent5"/>
          <w:sz w:val="32"/>
          <w:szCs w:val="32"/>
          <w:u w:val="single"/>
          <w:lang w:eastAsia="fr-FR"/>
        </w:rPr>
        <w:t>Les Petits artistes de la mémoire</w:t>
      </w:r>
    </w:p>
    <w:p w14:paraId="2683C141" w14:textId="3265CC76" w:rsidR="004347C6" w:rsidRPr="00B33A92" w:rsidRDefault="004347C6" w:rsidP="004347C6">
      <w:pPr>
        <w:spacing w:before="100" w:beforeAutospacing="1" w:after="100" w:afterAutospacing="1" w:line="240" w:lineRule="auto"/>
        <w:jc w:val="both"/>
        <w:rPr>
          <w:rFonts w:ascii="Marianne" w:hAnsi="Marianne" w:cs="Times New Roman"/>
          <w:sz w:val="24"/>
          <w:szCs w:val="24"/>
        </w:rPr>
      </w:pPr>
      <w:r w:rsidRPr="00B33A92">
        <w:rPr>
          <w:rFonts w:ascii="Marianne" w:eastAsia="Times New Roman" w:hAnsi="Marianne" w:cs="Times New Roman"/>
          <w:sz w:val="24"/>
          <w:szCs w:val="24"/>
          <w:lang w:eastAsia="fr-FR"/>
        </w:rPr>
        <w:t xml:space="preserve">Pluridisciplinaire et ouvert à la créativité des élèves, le concours des « Petits artistes de la mémoire, le regard des enfants sur la Grande Guerre » invite les élèves </w:t>
      </w:r>
      <w:r w:rsidRPr="00B33A92">
        <w:rPr>
          <w:rFonts w:ascii="Marianne" w:eastAsia="Times New Roman" w:hAnsi="Marianne" w:cs="Times New Roman"/>
          <w:b/>
          <w:bCs/>
          <w:color w:val="2F5496" w:themeColor="accent1" w:themeShade="BF"/>
          <w:sz w:val="24"/>
          <w:szCs w:val="24"/>
          <w:lang w:eastAsia="fr-FR"/>
        </w:rPr>
        <w:t>de CM1-CM2</w:t>
      </w:r>
      <w:r w:rsidRPr="00B33A92">
        <w:rPr>
          <w:rFonts w:ascii="Marianne" w:eastAsia="Times New Roman" w:hAnsi="Marianne" w:cs="Times New Roman"/>
          <w:color w:val="2F5496" w:themeColor="accent1" w:themeShade="BF"/>
          <w:sz w:val="24"/>
          <w:szCs w:val="24"/>
          <w:lang w:eastAsia="fr-FR"/>
        </w:rPr>
        <w:t xml:space="preserve"> </w:t>
      </w:r>
      <w:r w:rsidRPr="00B33A92">
        <w:rPr>
          <w:rFonts w:ascii="Marianne" w:eastAsia="Times New Roman" w:hAnsi="Marianne" w:cs="Times New Roman"/>
          <w:sz w:val="24"/>
          <w:szCs w:val="24"/>
          <w:lang w:eastAsia="fr-FR"/>
        </w:rPr>
        <w:t xml:space="preserve">à s’approprier l’histoire du conflit, à partir de l’appréhension de ses mémoires, par l’élaboration </w:t>
      </w:r>
      <w:r w:rsidRPr="00B33A92">
        <w:rPr>
          <w:rFonts w:ascii="Marianne" w:hAnsi="Marianne" w:cs="Times New Roman"/>
          <w:sz w:val="24"/>
          <w:szCs w:val="24"/>
        </w:rPr>
        <w:t>d’une production artistique et une réflexion sur son héritage contemporain.</w:t>
      </w:r>
    </w:p>
    <w:p w14:paraId="2799931C" w14:textId="77777777" w:rsidR="004347C6" w:rsidRPr="00B33A92" w:rsidRDefault="004347C6" w:rsidP="004347C6">
      <w:pPr>
        <w:pStyle w:val="Paragraphedeliste"/>
        <w:numPr>
          <w:ilvl w:val="0"/>
          <w:numId w:val="8"/>
        </w:numPr>
        <w:spacing w:before="100" w:beforeAutospacing="1" w:after="100" w:afterAutospacing="1" w:line="240" w:lineRule="auto"/>
        <w:outlineLvl w:val="1"/>
        <w:rPr>
          <w:rFonts w:ascii="Marianne" w:eastAsia="Times New Roman" w:hAnsi="Marianne" w:cs="Times New Roman"/>
          <w:b/>
          <w:bCs/>
          <w:color w:val="5B9BD5" w:themeColor="accent5"/>
          <w:sz w:val="32"/>
          <w:szCs w:val="32"/>
          <w:u w:val="single"/>
          <w:lang w:eastAsia="fr-FR"/>
        </w:rPr>
      </w:pPr>
      <w:r w:rsidRPr="00B33A92">
        <w:rPr>
          <w:rFonts w:ascii="Marianne" w:eastAsia="Times New Roman" w:hAnsi="Marianne" w:cs="Times New Roman"/>
          <w:b/>
          <w:bCs/>
          <w:color w:val="5B9BD5" w:themeColor="accent5"/>
          <w:sz w:val="32"/>
          <w:szCs w:val="32"/>
          <w:u w:val="single"/>
          <w:lang w:eastAsia="fr-FR"/>
        </w:rPr>
        <w:t>Bulles de mémoire</w:t>
      </w:r>
    </w:p>
    <w:p w14:paraId="49AD715D" w14:textId="322485C3" w:rsidR="004347C6" w:rsidRPr="00B33A92" w:rsidRDefault="004347C6" w:rsidP="004347C6">
      <w:pPr>
        <w:spacing w:before="100" w:beforeAutospacing="1" w:after="100" w:afterAutospacing="1" w:line="240" w:lineRule="auto"/>
        <w:jc w:val="both"/>
        <w:rPr>
          <w:rFonts w:ascii="Marianne" w:eastAsia="Times New Roman" w:hAnsi="Marianne" w:cs="Times New Roman"/>
          <w:sz w:val="24"/>
          <w:szCs w:val="24"/>
          <w:lang w:eastAsia="fr-FR"/>
        </w:rPr>
      </w:pPr>
      <w:r w:rsidRPr="00B33A92">
        <w:rPr>
          <w:rFonts w:ascii="Marianne" w:eastAsia="Times New Roman" w:hAnsi="Marianne" w:cs="Times New Roman"/>
          <w:sz w:val="24"/>
          <w:szCs w:val="24"/>
          <w:lang w:eastAsia="fr-FR"/>
        </w:rPr>
        <w:t xml:space="preserve">Depuis 2011, l'Office propose aux </w:t>
      </w:r>
      <w:r w:rsidRPr="00B33A92">
        <w:rPr>
          <w:rFonts w:ascii="Marianne" w:eastAsia="Times New Roman" w:hAnsi="Marianne" w:cs="Times New Roman"/>
          <w:b/>
          <w:bCs/>
          <w:color w:val="2F5496" w:themeColor="accent1" w:themeShade="BF"/>
          <w:sz w:val="24"/>
          <w:szCs w:val="24"/>
          <w:lang w:eastAsia="fr-FR"/>
        </w:rPr>
        <w:t>jeunes collégiens, lycéens et aux jeunes non scolarisés</w:t>
      </w:r>
      <w:r w:rsidRPr="00B33A92">
        <w:rPr>
          <w:rFonts w:ascii="Marianne" w:eastAsia="Times New Roman" w:hAnsi="Marianne" w:cs="Times New Roman"/>
          <w:color w:val="2F5496" w:themeColor="accent1" w:themeShade="BF"/>
          <w:sz w:val="24"/>
          <w:szCs w:val="24"/>
          <w:lang w:eastAsia="fr-FR"/>
        </w:rPr>
        <w:t xml:space="preserve"> </w:t>
      </w:r>
      <w:r w:rsidRPr="00B33A92">
        <w:rPr>
          <w:rFonts w:ascii="Marianne" w:eastAsia="Times New Roman" w:hAnsi="Marianne" w:cs="Times New Roman"/>
          <w:sz w:val="24"/>
          <w:szCs w:val="24"/>
          <w:lang w:eastAsia="fr-FR"/>
        </w:rPr>
        <w:t xml:space="preserve">de niveau équivalent de participer à un concours de bande dessinée. Le but est de réaliser, à partir d’un thème précis défini chaque année, une bande dessinée sur l’engagement de la France et des Français dans les grands conflits contemporains, et ainsi faire de la guerre le contexte et le décor d'un récit centré sur les multiples acteurs de ce conflit. </w:t>
      </w:r>
    </w:p>
    <w:p w14:paraId="3B9C9F43" w14:textId="0296A60F" w:rsidR="00C24C24" w:rsidRPr="00B33A92" w:rsidRDefault="00C24C24" w:rsidP="004347C6">
      <w:pPr>
        <w:spacing w:before="100" w:beforeAutospacing="1" w:after="100" w:afterAutospacing="1" w:line="240" w:lineRule="auto"/>
        <w:jc w:val="both"/>
        <w:rPr>
          <w:rFonts w:ascii="Marianne" w:eastAsia="Times New Roman" w:hAnsi="Marianne" w:cs="Times New Roman"/>
          <w:sz w:val="24"/>
          <w:szCs w:val="24"/>
          <w:lang w:eastAsia="fr-FR"/>
        </w:rPr>
      </w:pPr>
    </w:p>
    <w:p w14:paraId="686D4352" w14:textId="29BC94E9" w:rsidR="00C24C24" w:rsidRPr="00B33A92" w:rsidRDefault="00C24C24" w:rsidP="004347C6">
      <w:pPr>
        <w:spacing w:before="100" w:beforeAutospacing="1" w:after="100" w:afterAutospacing="1" w:line="240" w:lineRule="auto"/>
        <w:jc w:val="both"/>
        <w:rPr>
          <w:rFonts w:ascii="Marianne" w:eastAsia="Times New Roman" w:hAnsi="Marianne" w:cs="Times New Roman"/>
          <w:b/>
          <w:bCs/>
          <w:sz w:val="24"/>
          <w:szCs w:val="24"/>
          <w:u w:val="single"/>
          <w:lang w:eastAsia="fr-FR"/>
        </w:rPr>
      </w:pPr>
      <w:r w:rsidRPr="00B33A92">
        <w:rPr>
          <w:rFonts w:ascii="Marianne" w:eastAsia="Times New Roman" w:hAnsi="Marianne" w:cs="Times New Roman"/>
          <w:b/>
          <w:bCs/>
          <w:sz w:val="24"/>
          <w:szCs w:val="24"/>
          <w:u w:val="single"/>
          <w:lang w:eastAsia="fr-FR"/>
        </w:rPr>
        <w:t>Correspondants ONACVG</w:t>
      </w:r>
    </w:p>
    <w:p w14:paraId="394BFBCA" w14:textId="77777777" w:rsidR="0013639A" w:rsidRPr="00B33A92" w:rsidRDefault="0013639A" w:rsidP="0013639A">
      <w:pPr>
        <w:spacing w:after="0"/>
        <w:ind w:left="1416"/>
        <w:rPr>
          <w:rFonts w:ascii="Marianne" w:eastAsia="Times New Roman" w:hAnsi="Marianne" w:cs="Times New Roman"/>
          <w:b/>
          <w:color w:val="2E74B5" w:themeColor="accent5" w:themeShade="BF"/>
          <w:sz w:val="24"/>
          <w:szCs w:val="24"/>
        </w:rPr>
      </w:pPr>
      <w:r w:rsidRPr="00B33A92">
        <w:rPr>
          <w:rFonts w:ascii="Marianne" w:eastAsia="Times New Roman" w:hAnsi="Marianne" w:cs="Times New Roman"/>
          <w:b/>
          <w:color w:val="2E74B5" w:themeColor="accent5" w:themeShade="BF"/>
          <w:sz w:val="24"/>
          <w:szCs w:val="24"/>
        </w:rPr>
        <w:t>27004</w:t>
      </w:r>
      <w:r w:rsidRPr="00B33A92">
        <w:rPr>
          <w:rFonts w:ascii="Calibri" w:eastAsia="Times New Roman" w:hAnsi="Calibri" w:cs="Calibri"/>
          <w:b/>
          <w:color w:val="2E74B5" w:themeColor="accent5" w:themeShade="BF"/>
          <w:sz w:val="24"/>
          <w:szCs w:val="24"/>
        </w:rPr>
        <w:t>  </w:t>
      </w:r>
      <w:r w:rsidRPr="00B33A92">
        <w:rPr>
          <w:rStyle w:val="apple-converted-space"/>
          <w:rFonts w:ascii="Calibri" w:eastAsia="Times New Roman" w:hAnsi="Calibri" w:cs="Calibri"/>
          <w:b/>
          <w:color w:val="2E74B5" w:themeColor="accent5" w:themeShade="BF"/>
          <w:sz w:val="24"/>
          <w:szCs w:val="24"/>
        </w:rPr>
        <w:t> </w:t>
      </w:r>
      <w:r w:rsidRPr="00B33A92">
        <w:rPr>
          <w:rFonts w:ascii="Marianne" w:eastAsia="Times New Roman" w:hAnsi="Marianne" w:cs="Times New Roman"/>
          <w:b/>
          <w:color w:val="2E74B5" w:themeColor="accent5" w:themeShade="BF"/>
          <w:sz w:val="24"/>
          <w:szCs w:val="24"/>
        </w:rPr>
        <w:t>Evreux Cedex</w:t>
      </w:r>
      <w:r w:rsidRPr="00B33A92">
        <w:rPr>
          <w:rFonts w:ascii="Marianne" w:eastAsia="Times New Roman" w:hAnsi="Marianne" w:cs="Times New Roman"/>
          <w:b/>
          <w:color w:val="2E74B5" w:themeColor="accent5" w:themeShade="BF"/>
          <w:sz w:val="24"/>
          <w:szCs w:val="24"/>
        </w:rPr>
        <w:br/>
        <w:t>Tél</w:t>
      </w:r>
      <w:r w:rsidRPr="00B33A92">
        <w:rPr>
          <w:rFonts w:ascii="Calibri" w:eastAsia="Times New Roman" w:hAnsi="Calibri" w:cs="Calibri"/>
          <w:b/>
          <w:color w:val="2E74B5" w:themeColor="accent5" w:themeShade="BF"/>
          <w:sz w:val="24"/>
          <w:szCs w:val="24"/>
        </w:rPr>
        <w:t> </w:t>
      </w:r>
      <w:r w:rsidRPr="00B33A92">
        <w:rPr>
          <w:rFonts w:ascii="Marianne" w:eastAsia="Times New Roman" w:hAnsi="Marianne" w:cs="Times New Roman"/>
          <w:b/>
          <w:color w:val="2E74B5" w:themeColor="accent5" w:themeShade="BF"/>
          <w:sz w:val="24"/>
          <w:szCs w:val="24"/>
        </w:rPr>
        <w:t xml:space="preserve">: 02 32 24 86 30 </w:t>
      </w:r>
    </w:p>
    <w:p w14:paraId="330742C2" w14:textId="77777777" w:rsidR="0013639A" w:rsidRPr="00B33A92" w:rsidRDefault="0013639A" w:rsidP="0013639A">
      <w:pPr>
        <w:ind w:left="1416"/>
        <w:rPr>
          <w:rFonts w:ascii="Marianne" w:hAnsi="Marianne"/>
        </w:rPr>
      </w:pPr>
      <w:r w:rsidRPr="00B33A92">
        <w:rPr>
          <w:rFonts w:ascii="Marianne" w:eastAsia="Times New Roman" w:hAnsi="Marianne" w:cs="Times New Roman"/>
          <w:b/>
          <w:color w:val="2E74B5" w:themeColor="accent5" w:themeShade="BF"/>
          <w:sz w:val="24"/>
          <w:szCs w:val="24"/>
        </w:rPr>
        <w:t>muriel.cessac@onacvg.fr</w:t>
      </w:r>
    </w:p>
    <w:p w14:paraId="3ADB079E" w14:textId="77777777" w:rsidR="0013639A" w:rsidRPr="00B33A92" w:rsidRDefault="0013639A" w:rsidP="004347C6">
      <w:pPr>
        <w:spacing w:before="100" w:beforeAutospacing="1" w:after="100" w:afterAutospacing="1" w:line="240" w:lineRule="auto"/>
        <w:jc w:val="both"/>
        <w:rPr>
          <w:rFonts w:ascii="Marianne" w:eastAsia="Times New Roman" w:hAnsi="Marianne" w:cs="Times New Roman"/>
          <w:sz w:val="24"/>
          <w:szCs w:val="24"/>
          <w:lang w:eastAsia="fr-FR"/>
        </w:rPr>
      </w:pPr>
    </w:p>
    <w:sectPr w:rsidR="0013639A" w:rsidRPr="00B33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98E"/>
    <w:multiLevelType w:val="multilevel"/>
    <w:tmpl w:val="1808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7219"/>
    <w:multiLevelType w:val="multilevel"/>
    <w:tmpl w:val="37A4F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B355E"/>
    <w:multiLevelType w:val="multilevel"/>
    <w:tmpl w:val="3290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43354"/>
    <w:multiLevelType w:val="hybridMultilevel"/>
    <w:tmpl w:val="58FE7F36"/>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3705FF"/>
    <w:multiLevelType w:val="multilevel"/>
    <w:tmpl w:val="6AF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57030"/>
    <w:multiLevelType w:val="multilevel"/>
    <w:tmpl w:val="81B0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B1142"/>
    <w:multiLevelType w:val="multilevel"/>
    <w:tmpl w:val="7F36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6B00FA"/>
    <w:multiLevelType w:val="hybridMultilevel"/>
    <w:tmpl w:val="37E839C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1ED59E1"/>
    <w:multiLevelType w:val="hybridMultilevel"/>
    <w:tmpl w:val="D038867C"/>
    <w:lvl w:ilvl="0" w:tplc="BA364C1A">
      <w:start w:val="1"/>
      <w:numFmt w:val="upperLetter"/>
      <w:lvlText w:val="%1)"/>
      <w:lvlJc w:val="left"/>
      <w:pPr>
        <w:ind w:left="735" w:hanging="375"/>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C6"/>
    <w:rsid w:val="0013639A"/>
    <w:rsid w:val="00433F80"/>
    <w:rsid w:val="004347C6"/>
    <w:rsid w:val="009237B9"/>
    <w:rsid w:val="00B33A92"/>
    <w:rsid w:val="00C24C24"/>
    <w:rsid w:val="00E32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040E"/>
  <w15:chartTrackingRefBased/>
  <w15:docId w15:val="{0E3640CB-0DA9-4840-B92E-4EE91567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7C6"/>
    <w:pPr>
      <w:ind w:left="720"/>
      <w:contextualSpacing/>
    </w:pPr>
  </w:style>
  <w:style w:type="character" w:styleId="Lienhypertexte">
    <w:name w:val="Hyperlink"/>
    <w:basedOn w:val="Policepardfaut"/>
    <w:uiPriority w:val="99"/>
    <w:unhideWhenUsed/>
    <w:rsid w:val="004347C6"/>
    <w:rPr>
      <w:color w:val="0563C1" w:themeColor="hyperlink"/>
      <w:u w:val="single"/>
    </w:rPr>
  </w:style>
  <w:style w:type="character" w:customStyle="1" w:styleId="apple-converted-space">
    <w:name w:val="apple-converted-space"/>
    <w:basedOn w:val="Policepardfaut"/>
    <w:rsid w:val="004347C6"/>
  </w:style>
  <w:style w:type="character" w:styleId="Mentionnonrsolue">
    <w:name w:val="Unresolved Mention"/>
    <w:basedOn w:val="Policepardfaut"/>
    <w:uiPriority w:val="99"/>
    <w:semiHidden/>
    <w:unhideWhenUsed/>
    <w:rsid w:val="00B3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onacvg.fr/_media/metiers/mem/maquette_protocole_basse_d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onacvg.fr/_media/metiers/mem/detail_pieces.xls" TargetMode="External"/><Relationship Id="rId5" Type="http://schemas.openxmlformats.org/officeDocument/2006/relationships/hyperlink" Target="http://intranet.onacvg.fr/_media/metiers/mem/livret_explique-moi_une_ceremonieb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412</Words>
  <Characters>2271</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Quilici</dc:creator>
  <cp:keywords/>
  <dc:description/>
  <cp:lastModifiedBy>Quilici Isabelle</cp:lastModifiedBy>
  <cp:revision>8</cp:revision>
  <dcterms:created xsi:type="dcterms:W3CDTF">2022-10-13T10:51:00Z</dcterms:created>
  <dcterms:modified xsi:type="dcterms:W3CDTF">2023-09-29T12:07:00Z</dcterms:modified>
</cp:coreProperties>
</file>